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767A0" w:rsidP="004469A4">
            <w:pPr>
              <w:rPr>
                <w:b/>
              </w:rPr>
            </w:pPr>
            <w:r>
              <w:rPr>
                <w:rStyle w:val="Firstpagetablebold"/>
              </w:rPr>
              <w:t>1</w:t>
            </w:r>
            <w:r w:rsidR="00683B03">
              <w:rPr>
                <w:rStyle w:val="Firstpagetablebold"/>
              </w:rPr>
              <w:t>1</w:t>
            </w:r>
            <w:r>
              <w:rPr>
                <w:rStyle w:val="Firstpagetablebold"/>
              </w:rPr>
              <w:t xml:space="preserve"> </w:t>
            </w:r>
            <w:r w:rsidR="004469A4">
              <w:rPr>
                <w:rStyle w:val="Firstpagetablebold"/>
              </w:rPr>
              <w:t>July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59C7" w:rsidP="004A6D2F">
            <w:pPr>
              <w:rPr>
                <w:rStyle w:val="Firstpagetablebold"/>
              </w:rPr>
            </w:pPr>
            <w:r w:rsidRPr="00C67FC9">
              <w:rPr>
                <w:rStyle w:val="Firstpagetablebold"/>
              </w:rPr>
              <w:t>Head of 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4469A4" w:rsidP="004A6D2F">
            <w:pPr>
              <w:rPr>
                <w:rStyle w:val="Firstpagetablebold"/>
              </w:rPr>
            </w:pPr>
            <w:r w:rsidRPr="00753949">
              <w:rPr>
                <w:rStyle w:val="Firstpagetablebold"/>
                <w:rFonts w:cs="Arial"/>
              </w:rPr>
              <w:t>Children &amp; Y</w:t>
            </w:r>
            <w:r w:rsidR="00F54AFE">
              <w:rPr>
                <w:rStyle w:val="Firstpagetablebold"/>
                <w:rFonts w:cs="Arial"/>
              </w:rPr>
              <w:t>oung Persons Strategy (2018-2022</w:t>
            </w:r>
            <w:r w:rsidRPr="00753949">
              <w:rPr>
                <w:rStyle w:val="Firstpagetablebold"/>
                <w:rFonts w:cs="Arial"/>
              </w:rPr>
              <w:t>)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95F18" w:rsidRDefault="00095F18" w:rsidP="00095F18">
            <w:r>
              <w:t xml:space="preserve">To request that the City Executive Board approves the </w:t>
            </w:r>
            <w:r w:rsidR="004469A4" w:rsidRPr="004469A4">
              <w:rPr>
                <w:rStyle w:val="Firstpagetablebold"/>
                <w:rFonts w:cs="Arial"/>
                <w:b w:val="0"/>
              </w:rPr>
              <w:t>Children &amp; Y</w:t>
            </w:r>
            <w:r w:rsidR="00F54AFE">
              <w:rPr>
                <w:rStyle w:val="Firstpagetablebold"/>
                <w:rFonts w:cs="Arial"/>
                <w:b w:val="0"/>
              </w:rPr>
              <w:t>oung Persons Strategy (2018-2022</w:t>
            </w:r>
            <w:r w:rsidR="004469A4" w:rsidRPr="004469A4">
              <w:rPr>
                <w:rStyle w:val="Firstpagetablebold"/>
                <w:rFonts w:cs="Arial"/>
                <w:b w:val="0"/>
              </w:rPr>
              <w:t>)</w:t>
            </w:r>
            <w:r w:rsidR="004469A4">
              <w:rPr>
                <w:rStyle w:val="Firstpagetablebold"/>
                <w:rFonts w:cs="Arial"/>
                <w:b w:val="0"/>
              </w:rPr>
              <w:t xml:space="preserve"> </w:t>
            </w:r>
            <w:proofErr w:type="gramStart"/>
            <w:r>
              <w:t>which has been updated following consultation.</w:t>
            </w:r>
            <w:proofErr w:type="gramEnd"/>
          </w:p>
          <w:p w:rsidR="00D5547E" w:rsidRPr="001356F1" w:rsidRDefault="00C92F63" w:rsidP="00C92F63">
            <w:r>
              <w:t xml:space="preserve"> 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A159C7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469A4" w:rsidP="005F7F7E">
            <w:r w:rsidRPr="00753949">
              <w:rPr>
                <w:rFonts w:cs="Arial"/>
              </w:rPr>
              <w:t>Councillor Marie Tidball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A159C7" w:rsidP="004469A4">
            <w:r>
              <w:t>Strong, Active Communities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469A4" w:rsidP="004E3B5F">
            <w:r>
              <w:rPr>
                <w:rFonts w:cs="Arial"/>
              </w:rPr>
              <w:t xml:space="preserve">Oxford City Council’s </w:t>
            </w:r>
            <w:r w:rsidRPr="00753949">
              <w:rPr>
                <w:rFonts w:cs="Arial"/>
              </w:rPr>
              <w:t>Corporate Plan</w:t>
            </w:r>
          </w:p>
        </w:tc>
      </w:tr>
      <w:tr w:rsidR="005F7F7E" w:rsidRPr="00975B07" w:rsidTr="00A159C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683B03" w:rsidP="004A6D2F">
            <w:bookmarkStart w:id="0" w:name="_GoBack" w:colFirst="0" w:colLast="1"/>
            <w:proofErr w:type="spellStart"/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:That</w:t>
            </w:r>
            <w:proofErr w:type="spellEnd"/>
            <w:r w:rsidR="005F7F7E">
              <w:rPr>
                <w:rStyle w:val="Firstpagetablebold"/>
              </w:rPr>
              <w:t xml:space="preserve"> the City Executive Board resolves to:</w:t>
            </w:r>
          </w:p>
        </w:tc>
      </w:tr>
      <w:tr w:rsidR="0030208D" w:rsidRPr="00975B07" w:rsidTr="00A159C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AE6BAA" w:rsidRDefault="006413C1" w:rsidP="004469A4">
            <w:r>
              <w:rPr>
                <w:rFonts w:cs="Arial"/>
              </w:rPr>
              <w:t>A</w:t>
            </w:r>
            <w:r w:rsidR="00C92F63">
              <w:rPr>
                <w:rFonts w:cs="Arial"/>
              </w:rPr>
              <w:t xml:space="preserve">dopt the </w:t>
            </w:r>
            <w:r w:rsidR="004469A4" w:rsidRPr="004469A4">
              <w:rPr>
                <w:rStyle w:val="Firstpagetablebold"/>
                <w:rFonts w:cs="Arial"/>
                <w:b w:val="0"/>
              </w:rPr>
              <w:t>Children &amp; Young Persons Strategy</w:t>
            </w:r>
          </w:p>
        </w:tc>
      </w:tr>
      <w:bookmarkEnd w:id="0"/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4469A4" w:rsidP="006413C1">
            <w:r w:rsidRPr="00753949">
              <w:rPr>
                <w:rFonts w:cs="Arial"/>
              </w:rPr>
              <w:t>Children &amp; Young Pe</w:t>
            </w:r>
            <w:r w:rsidR="006413C1">
              <w:rPr>
                <w:rFonts w:cs="Arial"/>
              </w:rPr>
              <w:t xml:space="preserve">rson’s </w:t>
            </w:r>
            <w:r w:rsidRPr="00753949">
              <w:rPr>
                <w:rFonts w:cs="Arial"/>
              </w:rPr>
              <w:t>Strategy</w:t>
            </w:r>
          </w:p>
        </w:tc>
      </w:tr>
      <w:tr w:rsidR="00ED5860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A159C7" w:rsidP="004A6D2F">
            <w:r>
              <w:t>Risk Register</w:t>
            </w:r>
          </w:p>
        </w:tc>
      </w:tr>
      <w:tr w:rsidR="0030208D" w:rsidRPr="00975B07" w:rsidTr="00A159C7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E3B5F" w:rsidRDefault="004E3B5F" w:rsidP="004A6D2F">
            <w:r w:rsidRPr="00975B07">
              <w:t>Appendix 3</w:t>
            </w:r>
          </w:p>
          <w:p w:rsidR="0030208D" w:rsidRPr="00975B07" w:rsidRDefault="0030208D" w:rsidP="004A6D2F">
            <w:r w:rsidRPr="00975B07">
              <w:t xml:space="preserve">Appendix </w:t>
            </w:r>
            <w:r w:rsidR="004E3B5F"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3B5F" w:rsidRDefault="00A159C7" w:rsidP="004A6D2F">
            <w:pPr>
              <w:rPr>
                <w:rFonts w:cs="Arial"/>
              </w:rPr>
            </w:pPr>
            <w:r w:rsidRPr="007662D9">
              <w:rPr>
                <w:rFonts w:cs="Arial"/>
              </w:rPr>
              <w:t>Initial Equality Impact Assessment</w:t>
            </w:r>
          </w:p>
          <w:p w:rsidR="004E3B5F" w:rsidRPr="004E3B5F" w:rsidRDefault="007B67B3" w:rsidP="004E3B5F">
            <w:pPr>
              <w:rPr>
                <w:rFonts w:cs="Arial"/>
              </w:rPr>
            </w:pPr>
            <w:r>
              <w:rPr>
                <w:rFonts w:cs="Arial"/>
              </w:rPr>
              <w:t xml:space="preserve">Summary of the consultation </w:t>
            </w:r>
            <w:r w:rsidR="00F11DBB">
              <w:rPr>
                <w:rFonts w:cs="Arial"/>
              </w:rPr>
              <w:t>feedback</w:t>
            </w:r>
          </w:p>
        </w:tc>
      </w:tr>
    </w:tbl>
    <w:p w:rsidR="00C92F63" w:rsidRDefault="00C92F63" w:rsidP="00AE6BAA">
      <w:pPr>
        <w:pStyle w:val="Heading1"/>
        <w:jc w:val="both"/>
      </w:pPr>
    </w:p>
    <w:p w:rsidR="00C92F63" w:rsidRDefault="00C92F63" w:rsidP="00AE6BAA">
      <w:pPr>
        <w:pStyle w:val="Heading1"/>
        <w:jc w:val="both"/>
      </w:pPr>
    </w:p>
    <w:p w:rsidR="00C92F63" w:rsidRDefault="00C92F63" w:rsidP="00AE6BAA">
      <w:pPr>
        <w:pStyle w:val="Heading1"/>
        <w:jc w:val="both"/>
      </w:pPr>
    </w:p>
    <w:p w:rsidR="00683B03" w:rsidRDefault="00683B03" w:rsidP="00683B03"/>
    <w:p w:rsidR="00683B03" w:rsidRDefault="00683B03" w:rsidP="00683B03"/>
    <w:p w:rsidR="00683B03" w:rsidRPr="00683B03" w:rsidRDefault="00683B03" w:rsidP="00683B03"/>
    <w:p w:rsidR="0040736F" w:rsidRDefault="004E3B5F" w:rsidP="00AE6BAA">
      <w:pPr>
        <w:pStyle w:val="Heading1"/>
        <w:jc w:val="both"/>
      </w:pPr>
      <w:r>
        <w:lastRenderedPageBreak/>
        <w:t>I</w:t>
      </w:r>
      <w:r w:rsidR="00F66DCA" w:rsidRPr="001356F1">
        <w:t>ntroduction and b</w:t>
      </w:r>
      <w:r w:rsidR="00151888" w:rsidRPr="001356F1">
        <w:t>ackground</w:t>
      </w:r>
      <w:r w:rsidR="00404032" w:rsidRPr="001356F1">
        <w:t xml:space="preserve"> </w:t>
      </w:r>
    </w:p>
    <w:p w:rsidR="00C92F63" w:rsidRDefault="00C92F63" w:rsidP="00C92F63"/>
    <w:p w:rsidR="007B67B3" w:rsidRPr="00753949" w:rsidRDefault="007B67B3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53949">
        <w:rPr>
          <w:rFonts w:cs="Arial"/>
        </w:rPr>
        <w:t>Our vision is that every child and young person can fulfil their potential and become happy, safe, successful, healthy and active citizens. Th</w:t>
      </w:r>
      <w:r>
        <w:rPr>
          <w:rFonts w:cs="Arial"/>
        </w:rPr>
        <w:t xml:space="preserve">e </w:t>
      </w:r>
      <w:r w:rsidRPr="00753949">
        <w:rPr>
          <w:rFonts w:cs="Arial"/>
        </w:rPr>
        <w:t xml:space="preserve">strategy shows how we will use our resources and work with our partners to achieve </w:t>
      </w:r>
      <w:r>
        <w:rPr>
          <w:rFonts w:cs="Arial"/>
        </w:rPr>
        <w:t>this</w:t>
      </w:r>
      <w:r w:rsidRPr="00753949">
        <w:rPr>
          <w:rFonts w:cs="Arial"/>
        </w:rPr>
        <w:t>.</w:t>
      </w:r>
    </w:p>
    <w:p w:rsidR="00C92F63" w:rsidRDefault="00C92F63" w:rsidP="003B6D0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TB344o00"/>
        </w:rPr>
      </w:pPr>
      <w:r w:rsidRPr="00881D20">
        <w:rPr>
          <w:rFonts w:cs="TTB344o00"/>
        </w:rPr>
        <w:t xml:space="preserve">The draft </w:t>
      </w:r>
      <w:r w:rsidR="004469A4" w:rsidRPr="00753949">
        <w:rPr>
          <w:rFonts w:cs="Arial"/>
        </w:rPr>
        <w:t>Children &amp; Young Pe</w:t>
      </w:r>
      <w:r w:rsidR="004469A4">
        <w:rPr>
          <w:rFonts w:cs="Arial"/>
        </w:rPr>
        <w:t>ople’s</w:t>
      </w:r>
      <w:r w:rsidR="004469A4" w:rsidRPr="00753949">
        <w:rPr>
          <w:rFonts w:cs="Arial"/>
        </w:rPr>
        <w:t xml:space="preserve"> Strategy</w:t>
      </w:r>
      <w:r w:rsidR="004469A4" w:rsidRPr="00881D20">
        <w:rPr>
          <w:rFonts w:cs="TTB344o00"/>
        </w:rPr>
        <w:t xml:space="preserve"> </w:t>
      </w:r>
      <w:r w:rsidRPr="00881D20">
        <w:rPr>
          <w:rFonts w:cs="TTB344o00"/>
        </w:rPr>
        <w:t xml:space="preserve">was approved for public consultation by the City Executive Board on the </w:t>
      </w:r>
      <w:r>
        <w:rPr>
          <w:rFonts w:cs="TTB344o00"/>
        </w:rPr>
        <w:t>1</w:t>
      </w:r>
      <w:r w:rsidR="004469A4">
        <w:rPr>
          <w:rFonts w:cs="TTB344o00"/>
        </w:rPr>
        <w:t>3</w:t>
      </w:r>
      <w:r w:rsidRPr="00C92F63">
        <w:rPr>
          <w:rFonts w:cs="TTB344o00"/>
          <w:vertAlign w:val="superscript"/>
        </w:rPr>
        <w:t>th</w:t>
      </w:r>
      <w:r>
        <w:rPr>
          <w:rFonts w:cs="TTB344o00"/>
        </w:rPr>
        <w:t xml:space="preserve"> </w:t>
      </w:r>
      <w:r w:rsidR="004469A4">
        <w:rPr>
          <w:rFonts w:cs="TTB344o00"/>
        </w:rPr>
        <w:t xml:space="preserve">February </w:t>
      </w:r>
      <w:r>
        <w:rPr>
          <w:rFonts w:cs="TTB344o00"/>
        </w:rPr>
        <w:t>201</w:t>
      </w:r>
      <w:r w:rsidR="004469A4">
        <w:rPr>
          <w:rFonts w:cs="TTB344o00"/>
        </w:rPr>
        <w:t>8</w:t>
      </w:r>
      <w:r w:rsidRPr="00881D20">
        <w:rPr>
          <w:rFonts w:cs="TTB344o00"/>
        </w:rPr>
        <w:t xml:space="preserve">. </w:t>
      </w:r>
      <w:r w:rsidR="00F702CE">
        <w:rPr>
          <w:rFonts w:cs="TTB344o00"/>
        </w:rPr>
        <w:t>38,253 people viewed our promotional videos on social media and we received 113</w:t>
      </w:r>
      <w:r w:rsidR="004E3B5F">
        <w:rPr>
          <w:rFonts w:cs="TTB344o00"/>
        </w:rPr>
        <w:t xml:space="preserve"> responses to the consultation, most of which were from </w:t>
      </w:r>
      <w:r w:rsidR="00A52DE3">
        <w:rPr>
          <w:rFonts w:cs="TTB344o00"/>
        </w:rPr>
        <w:t xml:space="preserve">representative </w:t>
      </w:r>
      <w:r w:rsidR="004E3B5F">
        <w:rPr>
          <w:rFonts w:cs="TTB344o00"/>
        </w:rPr>
        <w:t xml:space="preserve">organisations. </w:t>
      </w:r>
      <w:r w:rsidRPr="00881D20">
        <w:rPr>
          <w:rFonts w:cs="TTB344o00"/>
        </w:rPr>
        <w:t xml:space="preserve">The consultation generated some very useful feedback which has </w:t>
      </w:r>
      <w:r w:rsidR="00095F18">
        <w:rPr>
          <w:rFonts w:cs="TTB344o00"/>
        </w:rPr>
        <w:t>shaped and</w:t>
      </w:r>
      <w:r w:rsidR="00095F18" w:rsidRPr="00881D20">
        <w:rPr>
          <w:rFonts w:cs="TTB344o00"/>
        </w:rPr>
        <w:t xml:space="preserve"> </w:t>
      </w:r>
      <w:r w:rsidRPr="00881D20">
        <w:rPr>
          <w:rFonts w:cs="TTB344o00"/>
        </w:rPr>
        <w:t>improve</w:t>
      </w:r>
      <w:r w:rsidR="00095F18">
        <w:rPr>
          <w:rFonts w:cs="TTB344o00"/>
        </w:rPr>
        <w:t>d</w:t>
      </w:r>
      <w:r w:rsidRPr="00881D20">
        <w:rPr>
          <w:rFonts w:cs="TTB344o00"/>
        </w:rPr>
        <w:t xml:space="preserve"> the strategy.</w:t>
      </w:r>
    </w:p>
    <w:p w:rsidR="00C92F63" w:rsidRDefault="00C92F63" w:rsidP="00C92F63">
      <w:pPr>
        <w:autoSpaceDE w:val="0"/>
        <w:autoSpaceDN w:val="0"/>
        <w:adjustRightInd w:val="0"/>
        <w:spacing w:after="0"/>
        <w:jc w:val="both"/>
        <w:rPr>
          <w:rFonts w:cs="TTB344o00"/>
        </w:rPr>
      </w:pPr>
    </w:p>
    <w:p w:rsidR="004469A4" w:rsidRPr="00753949" w:rsidRDefault="004469A4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bookmarkStart w:id="1" w:name="_s1x35pk8rqqe" w:colFirst="0" w:colLast="0"/>
      <w:bookmarkEnd w:id="1"/>
      <w:r w:rsidRPr="00753949">
        <w:rPr>
          <w:rFonts w:cs="Arial"/>
        </w:rPr>
        <w:t xml:space="preserve">We have three principles that underpin our vision for the Children and Young People’s Strategy which will guide our service development and delivery, these are: </w:t>
      </w:r>
    </w:p>
    <w:p w:rsidR="004469A4" w:rsidRPr="00753949" w:rsidRDefault="004469A4" w:rsidP="003B6D0B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753949">
        <w:rPr>
          <w:rFonts w:cs="Arial"/>
        </w:rPr>
        <w:t xml:space="preserve">Preventative-led provision </w:t>
      </w:r>
    </w:p>
    <w:p w:rsidR="004469A4" w:rsidRPr="00753949" w:rsidRDefault="004469A4" w:rsidP="003B6D0B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753949">
        <w:rPr>
          <w:rFonts w:cs="Arial"/>
        </w:rPr>
        <w:t xml:space="preserve">Equality, inclusion and engagement of young people </w:t>
      </w:r>
    </w:p>
    <w:p w:rsidR="004469A4" w:rsidRPr="00753949" w:rsidRDefault="004469A4" w:rsidP="003B6D0B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753949">
        <w:rPr>
          <w:rFonts w:cs="Arial"/>
        </w:rPr>
        <w:t>Facilitating effective partnership working.</w:t>
      </w:r>
    </w:p>
    <w:p w:rsidR="004469A4" w:rsidRPr="00753949" w:rsidRDefault="004469A4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53949">
        <w:rPr>
          <w:rFonts w:cs="Arial"/>
        </w:rPr>
        <w:t xml:space="preserve">To deliver these principles we will pilot a new way of working that builds on </w:t>
      </w:r>
      <w:r w:rsidR="006413C1">
        <w:rPr>
          <w:rFonts w:cs="Arial"/>
        </w:rPr>
        <w:t>our</w:t>
      </w:r>
      <w:r w:rsidRPr="00753949">
        <w:rPr>
          <w:rFonts w:cs="Arial"/>
        </w:rPr>
        <w:t xml:space="preserve"> strong partnerships</w:t>
      </w:r>
      <w:r w:rsidR="006413C1">
        <w:rPr>
          <w:rFonts w:cs="Arial"/>
        </w:rPr>
        <w:t xml:space="preserve">. </w:t>
      </w:r>
      <w:r w:rsidRPr="00753949">
        <w:rPr>
          <w:rFonts w:cs="Arial"/>
        </w:rPr>
        <w:t xml:space="preserve">We will </w:t>
      </w:r>
      <w:r w:rsidR="007B67B3">
        <w:rPr>
          <w:rFonts w:cs="Arial"/>
        </w:rPr>
        <w:t xml:space="preserve">do this by </w:t>
      </w:r>
      <w:r w:rsidRPr="00753949">
        <w:rPr>
          <w:rFonts w:cs="Arial"/>
        </w:rPr>
        <w:t>implemen</w:t>
      </w:r>
      <w:r w:rsidR="006413C1">
        <w:rPr>
          <w:rFonts w:cs="Arial"/>
        </w:rPr>
        <w:t>t</w:t>
      </w:r>
      <w:r w:rsidR="007B67B3">
        <w:rPr>
          <w:rFonts w:cs="Arial"/>
        </w:rPr>
        <w:t>ing</w:t>
      </w:r>
      <w:r w:rsidR="006413C1">
        <w:rPr>
          <w:rFonts w:cs="Arial"/>
        </w:rPr>
        <w:t xml:space="preserve"> a framework called </w:t>
      </w:r>
      <w:proofErr w:type="gramStart"/>
      <w:r w:rsidR="006413C1">
        <w:rPr>
          <w:rFonts w:cs="Arial"/>
        </w:rPr>
        <w:t>Ready</w:t>
      </w:r>
      <w:proofErr w:type="gramEnd"/>
      <w:r w:rsidR="006413C1">
        <w:rPr>
          <w:rFonts w:cs="Arial"/>
        </w:rPr>
        <w:t xml:space="preserve"> by 21</w:t>
      </w:r>
      <w:r w:rsidR="007B67B3">
        <w:rPr>
          <w:rFonts w:cs="Arial"/>
        </w:rPr>
        <w:t xml:space="preserve">. This framework </w:t>
      </w:r>
      <w:r w:rsidRPr="00753949">
        <w:rPr>
          <w:rFonts w:cs="Arial"/>
        </w:rPr>
        <w:t xml:space="preserve">enables the structured collaboration of all the groups that support a young person’s journey into adulthood such as schools, community groups, health providers, local authorities, families and young people themselves. </w:t>
      </w:r>
    </w:p>
    <w:p w:rsidR="004469A4" w:rsidRPr="00753949" w:rsidRDefault="004469A4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53949">
        <w:rPr>
          <w:rFonts w:cs="Arial"/>
        </w:rPr>
        <w:t xml:space="preserve">Using the Ready by 21 Framework we will share and scrutinise data about young people and work with our partners to gain a collective insight into the root causes of the societal problems facing young people and agree how we can work better together to have the greatest </w:t>
      </w:r>
      <w:r>
        <w:rPr>
          <w:rFonts w:cs="Arial"/>
        </w:rPr>
        <w:t>long-</w:t>
      </w:r>
      <w:r w:rsidRPr="00753949">
        <w:rPr>
          <w:rFonts w:cs="Arial"/>
        </w:rPr>
        <w:t xml:space="preserve">term impact. </w:t>
      </w:r>
    </w:p>
    <w:p w:rsidR="004469A4" w:rsidRDefault="004469A4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53949">
        <w:rPr>
          <w:rFonts w:cs="Arial"/>
        </w:rPr>
        <w:t>We will trial this approach alongside a zoning methodology where we will focus on certain areas of the city – this will help our learning and enable local differences to be understood.</w:t>
      </w:r>
    </w:p>
    <w:p w:rsidR="00EE5ECA" w:rsidRPr="006413C1" w:rsidRDefault="004469A4" w:rsidP="003B6D0B">
      <w:pPr>
        <w:pStyle w:val="ListParagraph"/>
        <w:numPr>
          <w:ilvl w:val="0"/>
          <w:numId w:val="7"/>
        </w:numPr>
        <w:jc w:val="both"/>
        <w:rPr>
          <w:rFonts w:cs="Arial"/>
          <w:b/>
        </w:rPr>
      </w:pPr>
      <w:r w:rsidRPr="006413C1">
        <w:rPr>
          <w:rFonts w:cs="Arial"/>
        </w:rPr>
        <w:t>The strategy will influence the Council’s policy framework to ensure all our services reflect the needs of young people.</w:t>
      </w:r>
    </w:p>
    <w:p w:rsidR="00C92F63" w:rsidRDefault="00C92F63" w:rsidP="00C92F63">
      <w:pPr>
        <w:spacing w:after="0"/>
        <w:jc w:val="both"/>
        <w:rPr>
          <w:rFonts w:eastAsia="Calibri" w:cs="Calibri"/>
          <w:szCs w:val="22"/>
        </w:rPr>
      </w:pPr>
    </w:p>
    <w:p w:rsidR="00C92F63" w:rsidRDefault="00C92F63" w:rsidP="00C92F63">
      <w:pPr>
        <w:spacing w:after="0"/>
        <w:jc w:val="both"/>
        <w:rPr>
          <w:rFonts w:eastAsia="Calibri" w:cs="Calibri"/>
          <w:b/>
          <w:szCs w:val="22"/>
        </w:rPr>
      </w:pPr>
      <w:r w:rsidRPr="00C92F63">
        <w:rPr>
          <w:rFonts w:eastAsia="Calibri" w:cs="Calibri"/>
          <w:b/>
          <w:szCs w:val="22"/>
        </w:rPr>
        <w:t>The consultation process</w:t>
      </w:r>
    </w:p>
    <w:p w:rsidR="00C92F63" w:rsidRDefault="00C92F63" w:rsidP="00C92F63">
      <w:pPr>
        <w:spacing w:after="0"/>
        <w:jc w:val="both"/>
        <w:rPr>
          <w:rFonts w:eastAsia="Calibri" w:cs="Calibri"/>
          <w:b/>
          <w:szCs w:val="22"/>
        </w:rPr>
      </w:pPr>
    </w:p>
    <w:p w:rsidR="00C92F63" w:rsidRDefault="006413C1" w:rsidP="003B6D0B">
      <w:pPr>
        <w:pStyle w:val="ListParagraph"/>
        <w:numPr>
          <w:ilvl w:val="0"/>
          <w:numId w:val="7"/>
        </w:numPr>
        <w:jc w:val="both"/>
      </w:pPr>
      <w:r w:rsidRPr="004648DE">
        <w:t xml:space="preserve">A press release and posts on social media </w:t>
      </w:r>
      <w:r>
        <w:t xml:space="preserve">were used to launch </w:t>
      </w:r>
      <w:r w:rsidR="00ED771D">
        <w:t xml:space="preserve">the </w:t>
      </w:r>
      <w:r w:rsidRPr="004648DE">
        <w:t>consultation.</w:t>
      </w:r>
      <w:r>
        <w:t xml:space="preserve"> </w:t>
      </w:r>
      <w:r w:rsidR="00C92F63" w:rsidRPr="00314EB9">
        <w:rPr>
          <w:rFonts w:cs="Arial"/>
        </w:rPr>
        <w:t>T</w:t>
      </w:r>
      <w:r w:rsidR="00C92F63" w:rsidRPr="004648DE">
        <w:t>hroughout the eight week consult</w:t>
      </w:r>
      <w:r w:rsidR="00A52DE3">
        <w:t>ation</w:t>
      </w:r>
      <w:r w:rsidR="00C92F63" w:rsidRPr="004648DE">
        <w:t xml:space="preserve"> the draft strategy w</w:t>
      </w:r>
      <w:r w:rsidR="00C92F63">
        <w:t xml:space="preserve">as </w:t>
      </w:r>
      <w:r w:rsidR="00C92F63" w:rsidRPr="004648DE">
        <w:t>on the Council</w:t>
      </w:r>
      <w:r w:rsidR="00C92F63">
        <w:t>’s</w:t>
      </w:r>
      <w:r w:rsidR="00C92F63" w:rsidRPr="004648DE">
        <w:t xml:space="preserve"> website and available for comment through the on-line consultation page. </w:t>
      </w:r>
    </w:p>
    <w:p w:rsidR="00ED771D" w:rsidRDefault="006413C1" w:rsidP="003B6D0B">
      <w:pPr>
        <w:pStyle w:val="ListParagraph"/>
        <w:numPr>
          <w:ilvl w:val="0"/>
          <w:numId w:val="7"/>
        </w:numPr>
        <w:jc w:val="both"/>
      </w:pPr>
      <w:r>
        <w:t>We were especially keen to get the views of young people</w:t>
      </w:r>
      <w:r w:rsidR="00ED771D">
        <w:t xml:space="preserve"> so </w:t>
      </w:r>
      <w:r w:rsidR="00906945">
        <w:t xml:space="preserve">held focus groups </w:t>
      </w:r>
      <w:proofErr w:type="gramStart"/>
      <w:r w:rsidR="00ED771D">
        <w:t xml:space="preserve">at  </w:t>
      </w:r>
      <w:r w:rsidR="00992567">
        <w:t>Saint</w:t>
      </w:r>
      <w:proofErr w:type="gramEnd"/>
      <w:r w:rsidR="00992567">
        <w:t xml:space="preserve"> </w:t>
      </w:r>
      <w:r w:rsidR="00906945">
        <w:t>Gregory the Great School, Parasol (</w:t>
      </w:r>
      <w:r w:rsidR="00ED771D">
        <w:t xml:space="preserve">a group </w:t>
      </w:r>
      <w:r w:rsidR="00906945">
        <w:t>who work with disabled young people)</w:t>
      </w:r>
      <w:r w:rsidR="00992567">
        <w:t>, Wood Farm Youth Club</w:t>
      </w:r>
      <w:r>
        <w:t xml:space="preserve"> and </w:t>
      </w:r>
      <w:r w:rsidR="00906945">
        <w:t>Wolvercote Young People’s Club</w:t>
      </w:r>
      <w:r>
        <w:t>. These sessions provided valuable insight</w:t>
      </w:r>
      <w:r w:rsidR="00ED771D">
        <w:t>s</w:t>
      </w:r>
      <w:r>
        <w:t xml:space="preserve"> into what really matter</w:t>
      </w:r>
      <w:r w:rsidR="00992567">
        <w:t>s</w:t>
      </w:r>
      <w:r>
        <w:t xml:space="preserve"> for young people.</w:t>
      </w:r>
      <w:r w:rsidR="00906945">
        <w:t xml:space="preserve"> </w:t>
      </w:r>
    </w:p>
    <w:p w:rsidR="00906945" w:rsidRDefault="00ED771D" w:rsidP="003B6D0B">
      <w:pPr>
        <w:pStyle w:val="ListParagraph"/>
        <w:numPr>
          <w:ilvl w:val="0"/>
          <w:numId w:val="7"/>
        </w:numPr>
        <w:jc w:val="both"/>
      </w:pPr>
      <w:r>
        <w:t xml:space="preserve">We also worked with young people </w:t>
      </w:r>
      <w:r w:rsidR="00992567">
        <w:t xml:space="preserve">to make a </w:t>
      </w:r>
      <w:r>
        <w:t>promot</w:t>
      </w:r>
      <w:r w:rsidR="00992567">
        <w:t>ional video to help reach a wider audience and we obtained feedback direct from social media.</w:t>
      </w:r>
    </w:p>
    <w:p w:rsidR="00314EB9" w:rsidRDefault="00314EB9" w:rsidP="003B6D0B">
      <w:pPr>
        <w:pStyle w:val="ListParagraph"/>
        <w:numPr>
          <w:ilvl w:val="0"/>
          <w:numId w:val="7"/>
        </w:numPr>
        <w:jc w:val="both"/>
      </w:pPr>
      <w:r>
        <w:lastRenderedPageBreak/>
        <w:t>The strategy was also sent directly to the city’s</w:t>
      </w:r>
      <w:r w:rsidR="00ED771D">
        <w:t xml:space="preserve"> secondary </w:t>
      </w:r>
      <w:r>
        <w:t>head teachers, health</w:t>
      </w:r>
      <w:r w:rsidR="00ED771D">
        <w:t xml:space="preserve"> professional</w:t>
      </w:r>
      <w:r>
        <w:t xml:space="preserve">, the </w:t>
      </w:r>
      <w:r w:rsidR="00ED771D">
        <w:t>C</w:t>
      </w:r>
      <w:r>
        <w:t xml:space="preserve">ounty </w:t>
      </w:r>
      <w:r w:rsidR="00ED771D">
        <w:t>C</w:t>
      </w:r>
      <w:r>
        <w:t>ouncil, members of the City’s Youth Partnership Board and a range of community groups to encourage their feedback.</w:t>
      </w:r>
    </w:p>
    <w:p w:rsidR="00642390" w:rsidRPr="00314EB9" w:rsidRDefault="00314EB9" w:rsidP="00314EB9">
      <w:pPr>
        <w:spacing w:after="0" w:line="264" w:lineRule="exact"/>
        <w:ind w:left="426" w:right="-20" w:hanging="426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13</w:t>
      </w:r>
      <w:r w:rsidR="004E3B5F" w:rsidRPr="00314EB9">
        <w:rPr>
          <w:rFonts w:eastAsia="Calibri" w:cs="Arial"/>
        </w:rPr>
        <w:t>.</w:t>
      </w:r>
      <w:r w:rsidR="004E3B5F" w:rsidRPr="00314EB9">
        <w:rPr>
          <w:rFonts w:eastAsia="Calibri" w:cs="Arial"/>
        </w:rPr>
        <w:tab/>
      </w:r>
      <w:r w:rsidR="00642390" w:rsidRPr="00314EB9">
        <w:rPr>
          <w:rFonts w:eastAsia="Calibri" w:cs="Arial"/>
        </w:rPr>
        <w:t>Th</w:t>
      </w:r>
      <w:r>
        <w:rPr>
          <w:rFonts w:eastAsia="Calibri" w:cs="Arial"/>
        </w:rPr>
        <w:t>is feedback</w:t>
      </w:r>
      <w:r w:rsidR="00ED771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was recorded on a spreadsheet which we have updated to </w:t>
      </w:r>
      <w:r w:rsidR="00ED771D">
        <w:rPr>
          <w:rFonts w:eastAsia="Calibri" w:cs="Arial"/>
        </w:rPr>
        <w:t>include our responses (</w:t>
      </w:r>
      <w:r w:rsidR="00642390" w:rsidRPr="00314EB9">
        <w:rPr>
          <w:rFonts w:eastAsia="Calibri" w:cs="Arial"/>
        </w:rPr>
        <w:t xml:space="preserve">appendix </w:t>
      </w:r>
      <w:r w:rsidR="004E3B5F" w:rsidRPr="00314EB9">
        <w:rPr>
          <w:rFonts w:eastAsia="Calibri" w:cs="Arial"/>
        </w:rPr>
        <w:t>four</w:t>
      </w:r>
      <w:r>
        <w:rPr>
          <w:rFonts w:eastAsia="Calibri" w:cs="Arial"/>
        </w:rPr>
        <w:t>)</w:t>
      </w:r>
      <w:r w:rsidR="004E3B5F" w:rsidRPr="00314EB9">
        <w:rPr>
          <w:rFonts w:eastAsia="Calibri" w:cs="Arial"/>
        </w:rPr>
        <w:t>.</w:t>
      </w:r>
    </w:p>
    <w:p w:rsidR="00C92F63" w:rsidRPr="004648DE" w:rsidRDefault="00C92F63" w:rsidP="00C92F63">
      <w:pPr>
        <w:jc w:val="both"/>
        <w:rPr>
          <w:rFonts w:eastAsia="Calibri" w:cs="Arial"/>
        </w:rPr>
      </w:pPr>
    </w:p>
    <w:p w:rsidR="00C92F63" w:rsidRPr="0071682D" w:rsidRDefault="00C92F63" w:rsidP="00C92F63">
      <w:pPr>
        <w:jc w:val="both"/>
        <w:rPr>
          <w:rFonts w:cs="TTB346o00"/>
          <w:b/>
        </w:rPr>
      </w:pPr>
      <w:r w:rsidRPr="0071682D">
        <w:rPr>
          <w:rFonts w:cs="TTB346o00"/>
          <w:b/>
        </w:rPr>
        <w:t>Summary of consultation results</w:t>
      </w:r>
    </w:p>
    <w:p w:rsidR="00C92F63" w:rsidRPr="00087ECA" w:rsidRDefault="00314EB9" w:rsidP="00314EB9">
      <w:pPr>
        <w:ind w:left="360" w:hanging="360"/>
        <w:jc w:val="both"/>
        <w:rPr>
          <w:rFonts w:cs="TTB344o00"/>
        </w:rPr>
      </w:pPr>
      <w:r>
        <w:t>14.</w:t>
      </w:r>
      <w:r>
        <w:tab/>
      </w:r>
      <w:r w:rsidR="00C92F63" w:rsidRPr="00087ECA">
        <w:rPr>
          <w:rFonts w:cs="TTB344o00"/>
        </w:rPr>
        <w:t xml:space="preserve">The </w:t>
      </w:r>
      <w:r>
        <w:rPr>
          <w:rFonts w:cs="TTB344o00"/>
        </w:rPr>
        <w:t xml:space="preserve">consultation has shown </w:t>
      </w:r>
      <w:r w:rsidR="00642390" w:rsidRPr="00087ECA">
        <w:rPr>
          <w:rFonts w:cs="TTB344o00"/>
        </w:rPr>
        <w:t xml:space="preserve">a </w:t>
      </w:r>
      <w:r w:rsidR="00087ECA" w:rsidRPr="00087ECA">
        <w:rPr>
          <w:rFonts w:cs="TTB344o00"/>
        </w:rPr>
        <w:t xml:space="preserve">very </w:t>
      </w:r>
      <w:r w:rsidR="00ED771D">
        <w:rPr>
          <w:rFonts w:cs="TTB344o00"/>
        </w:rPr>
        <w:t xml:space="preserve">strong </w:t>
      </w:r>
      <w:r w:rsidR="00642390" w:rsidRPr="00087ECA">
        <w:rPr>
          <w:rFonts w:cs="TTB344o00"/>
        </w:rPr>
        <w:t xml:space="preserve">level of support </w:t>
      </w:r>
      <w:r w:rsidR="00087ECA" w:rsidRPr="00087ECA">
        <w:rPr>
          <w:rFonts w:cs="TTB344o00"/>
        </w:rPr>
        <w:t xml:space="preserve">for the </w:t>
      </w:r>
      <w:r w:rsidR="00A52DE3" w:rsidRPr="00087ECA">
        <w:rPr>
          <w:rFonts w:cs="TTB344o00"/>
        </w:rPr>
        <w:t>strategy</w:t>
      </w:r>
      <w:r w:rsidR="00ED771D">
        <w:rPr>
          <w:rFonts w:cs="TTB344o00"/>
        </w:rPr>
        <w:t>,</w:t>
      </w:r>
      <w:r w:rsidR="00087ECA" w:rsidRPr="00087ECA">
        <w:rPr>
          <w:rFonts w:cs="TTB344o00"/>
        </w:rPr>
        <w:t xml:space="preserve"> </w:t>
      </w:r>
      <w:r w:rsidR="00ED771D">
        <w:rPr>
          <w:rFonts w:cs="TTB344o00"/>
        </w:rPr>
        <w:t>t</w:t>
      </w:r>
      <w:r w:rsidR="00556B10" w:rsidRPr="00087ECA">
        <w:rPr>
          <w:rFonts w:cs="TTB344o00"/>
        </w:rPr>
        <w:t>he c</w:t>
      </w:r>
      <w:r w:rsidR="00C92F63" w:rsidRPr="00087ECA">
        <w:rPr>
          <w:rFonts w:cs="TTB344o00"/>
        </w:rPr>
        <w:t>ommon themes from the consultation</w:t>
      </w:r>
      <w:r w:rsidR="00A52DE3" w:rsidRPr="00087ECA">
        <w:rPr>
          <w:rFonts w:cs="TTB344o00"/>
        </w:rPr>
        <w:t xml:space="preserve"> were</w:t>
      </w:r>
      <w:r w:rsidR="00C92F63" w:rsidRPr="00087ECA">
        <w:rPr>
          <w:rFonts w:cs="TTB344o00"/>
        </w:rPr>
        <w:t xml:space="preserve">: </w:t>
      </w:r>
    </w:p>
    <w:p w:rsidR="00ED771D" w:rsidRDefault="00ED771D" w:rsidP="00314EB9">
      <w:pPr>
        <w:spacing w:after="0"/>
        <w:ind w:left="360"/>
        <w:rPr>
          <w:b/>
        </w:rPr>
      </w:pPr>
    </w:p>
    <w:p w:rsidR="00906945" w:rsidRPr="00314EB9" w:rsidRDefault="00906945" w:rsidP="00314EB9">
      <w:pPr>
        <w:spacing w:after="0"/>
        <w:ind w:left="360"/>
      </w:pPr>
      <w:r w:rsidRPr="00906945">
        <w:rPr>
          <w:b/>
        </w:rPr>
        <w:t xml:space="preserve">Respondents felt that the </w:t>
      </w:r>
      <w:r w:rsidR="004D43D1" w:rsidRPr="00906945">
        <w:rPr>
          <w:b/>
        </w:rPr>
        <w:t>strategy is targeted at professional</w:t>
      </w:r>
      <w:r w:rsidR="00ED771D">
        <w:rPr>
          <w:b/>
        </w:rPr>
        <w:t>s</w:t>
      </w:r>
      <w:r>
        <w:rPr>
          <w:b/>
        </w:rPr>
        <w:t xml:space="preserve"> and asked that we find a way to make it more useful for a wider audience.</w:t>
      </w:r>
    </w:p>
    <w:p w:rsidR="00314EB9" w:rsidRPr="00087ECA" w:rsidRDefault="00314EB9" w:rsidP="00314EB9">
      <w:pPr>
        <w:spacing w:after="0"/>
        <w:ind w:left="709"/>
      </w:pPr>
    </w:p>
    <w:p w:rsidR="004D43D1" w:rsidRPr="00087ECA" w:rsidRDefault="00ED771D" w:rsidP="00314EB9">
      <w:pPr>
        <w:spacing w:after="0"/>
        <w:ind w:left="360"/>
        <w:rPr>
          <w:i/>
        </w:rPr>
      </w:pPr>
      <w:r>
        <w:rPr>
          <w:i/>
        </w:rPr>
        <w:t>W</w:t>
      </w:r>
      <w:r w:rsidR="004D43D1" w:rsidRPr="00087ECA">
        <w:rPr>
          <w:i/>
        </w:rPr>
        <w:t xml:space="preserve">e </w:t>
      </w:r>
      <w:r w:rsidR="00992567">
        <w:rPr>
          <w:i/>
        </w:rPr>
        <w:t xml:space="preserve">have </w:t>
      </w:r>
      <w:r w:rsidR="004D43D1" w:rsidRPr="00087ECA">
        <w:rPr>
          <w:i/>
        </w:rPr>
        <w:t>work</w:t>
      </w:r>
      <w:r w:rsidR="00992567">
        <w:rPr>
          <w:i/>
        </w:rPr>
        <w:t xml:space="preserve">ed </w:t>
      </w:r>
      <w:r w:rsidR="004D43D1" w:rsidRPr="00087ECA">
        <w:rPr>
          <w:i/>
        </w:rPr>
        <w:t>with young people to create a short video that summarises the strategy</w:t>
      </w:r>
      <w:r w:rsidR="00087ECA">
        <w:rPr>
          <w:i/>
        </w:rPr>
        <w:t>. The</w:t>
      </w:r>
      <w:r w:rsidR="00275C97">
        <w:rPr>
          <w:i/>
        </w:rPr>
        <w:t xml:space="preserve"> video</w:t>
      </w:r>
      <w:r w:rsidR="004D43D1" w:rsidRPr="00087ECA">
        <w:rPr>
          <w:i/>
        </w:rPr>
        <w:t xml:space="preserve"> explain</w:t>
      </w:r>
      <w:r w:rsidR="00992567">
        <w:rPr>
          <w:i/>
        </w:rPr>
        <w:t>s</w:t>
      </w:r>
      <w:r w:rsidR="004D43D1" w:rsidRPr="00087ECA">
        <w:rPr>
          <w:i/>
        </w:rPr>
        <w:t xml:space="preserve"> the three key principles of the strategy and the </w:t>
      </w:r>
      <w:r w:rsidR="00087ECA">
        <w:rPr>
          <w:i/>
        </w:rPr>
        <w:t xml:space="preserve">main </w:t>
      </w:r>
      <w:r w:rsidR="004D43D1" w:rsidRPr="00087ECA">
        <w:rPr>
          <w:i/>
        </w:rPr>
        <w:t>actions will be taking</w:t>
      </w:r>
      <w:r w:rsidR="00087ECA">
        <w:rPr>
          <w:i/>
        </w:rPr>
        <w:t xml:space="preserve"> to help to improve the lives of young people</w:t>
      </w:r>
      <w:r w:rsidR="004D43D1" w:rsidRPr="00087ECA">
        <w:rPr>
          <w:i/>
        </w:rPr>
        <w:t xml:space="preserve">. </w:t>
      </w:r>
    </w:p>
    <w:p w:rsidR="00906945" w:rsidRDefault="00906945" w:rsidP="00906945">
      <w:pPr>
        <w:spacing w:after="0"/>
        <w:ind w:left="709"/>
      </w:pPr>
    </w:p>
    <w:p w:rsidR="00275C97" w:rsidRDefault="00275C97" w:rsidP="00275C97">
      <w:pPr>
        <w:spacing w:after="0"/>
        <w:ind w:firstLine="360"/>
        <w:rPr>
          <w:b/>
        </w:rPr>
      </w:pPr>
      <w:r>
        <w:rPr>
          <w:b/>
        </w:rPr>
        <w:t xml:space="preserve">The need to work effectively in partnership </w:t>
      </w:r>
    </w:p>
    <w:p w:rsidR="00275C97" w:rsidRDefault="00275C97" w:rsidP="00275C97">
      <w:pPr>
        <w:spacing w:after="0"/>
        <w:ind w:left="360"/>
        <w:rPr>
          <w:i/>
        </w:rPr>
      </w:pPr>
    </w:p>
    <w:p w:rsidR="00275C97" w:rsidRDefault="00275C97" w:rsidP="00275C97">
      <w:pPr>
        <w:spacing w:after="0"/>
        <w:ind w:left="360"/>
        <w:rPr>
          <w:i/>
        </w:rPr>
      </w:pPr>
      <w:r w:rsidRPr="00C575AC">
        <w:rPr>
          <w:i/>
        </w:rPr>
        <w:t xml:space="preserve">While respondents felt our focus </w:t>
      </w:r>
      <w:r>
        <w:rPr>
          <w:i/>
        </w:rPr>
        <w:t>and implementing a partnership</w:t>
      </w:r>
      <w:r w:rsidRPr="00C575AC">
        <w:rPr>
          <w:i/>
        </w:rPr>
        <w:t xml:space="preserve"> </w:t>
      </w:r>
      <w:r>
        <w:rPr>
          <w:i/>
        </w:rPr>
        <w:t xml:space="preserve">framework </w:t>
      </w:r>
      <w:r w:rsidRPr="00C575AC">
        <w:rPr>
          <w:i/>
        </w:rPr>
        <w:t xml:space="preserve">was very positive, there was a lot of feedback to encourage </w:t>
      </w:r>
      <w:r w:rsidR="00992567">
        <w:rPr>
          <w:i/>
        </w:rPr>
        <w:t>a long-</w:t>
      </w:r>
      <w:r>
        <w:rPr>
          <w:i/>
        </w:rPr>
        <w:t>term commitment</w:t>
      </w:r>
      <w:r w:rsidR="00992567">
        <w:rPr>
          <w:i/>
        </w:rPr>
        <w:t xml:space="preserve"> to the approach</w:t>
      </w:r>
      <w:r>
        <w:rPr>
          <w:i/>
        </w:rPr>
        <w:t xml:space="preserve">. </w:t>
      </w:r>
    </w:p>
    <w:p w:rsidR="00275C97" w:rsidRPr="00C575AC" w:rsidRDefault="00275C97" w:rsidP="00275C97">
      <w:pPr>
        <w:spacing w:after="0"/>
        <w:ind w:left="360"/>
        <w:rPr>
          <w:i/>
        </w:rPr>
      </w:pPr>
    </w:p>
    <w:p w:rsidR="00906945" w:rsidRDefault="00906945" w:rsidP="00314EB9">
      <w:pPr>
        <w:spacing w:after="0"/>
        <w:ind w:firstLine="360"/>
        <w:rPr>
          <w:b/>
        </w:rPr>
      </w:pPr>
      <w:r w:rsidRPr="00087ECA">
        <w:rPr>
          <w:b/>
        </w:rPr>
        <w:t xml:space="preserve">Further clarity on roles and responsibilities </w:t>
      </w:r>
    </w:p>
    <w:p w:rsidR="00314EB9" w:rsidRDefault="00314EB9" w:rsidP="00314EB9">
      <w:pPr>
        <w:spacing w:after="0"/>
        <w:ind w:firstLine="360"/>
        <w:rPr>
          <w:i/>
        </w:rPr>
      </w:pPr>
    </w:p>
    <w:p w:rsidR="00087ECA" w:rsidRPr="00087ECA" w:rsidRDefault="00275C97" w:rsidP="00314EB9">
      <w:pPr>
        <w:spacing w:after="0"/>
        <w:ind w:left="360"/>
        <w:rPr>
          <w:i/>
        </w:rPr>
      </w:pPr>
      <w:r>
        <w:rPr>
          <w:i/>
        </w:rPr>
        <w:t xml:space="preserve">We have </w:t>
      </w:r>
      <w:r w:rsidR="00087ECA" w:rsidRPr="00087ECA">
        <w:rPr>
          <w:i/>
        </w:rPr>
        <w:t xml:space="preserve">updated the Ready by 21 </w:t>
      </w:r>
      <w:proofErr w:type="gramStart"/>
      <w:r>
        <w:rPr>
          <w:i/>
        </w:rPr>
        <w:t>framework</w:t>
      </w:r>
      <w:proofErr w:type="gramEnd"/>
      <w:r>
        <w:rPr>
          <w:i/>
        </w:rPr>
        <w:t xml:space="preserve"> (</w:t>
      </w:r>
      <w:r w:rsidR="00087ECA" w:rsidRPr="00087ECA">
        <w:rPr>
          <w:i/>
        </w:rPr>
        <w:t>appendix three</w:t>
      </w:r>
      <w:r>
        <w:rPr>
          <w:i/>
        </w:rPr>
        <w:t>)</w:t>
      </w:r>
      <w:r w:rsidR="00087ECA" w:rsidRPr="00087ECA">
        <w:rPr>
          <w:i/>
        </w:rPr>
        <w:t xml:space="preserve"> in the strategy that shows </w:t>
      </w:r>
      <w:r>
        <w:rPr>
          <w:i/>
        </w:rPr>
        <w:t xml:space="preserve">how </w:t>
      </w:r>
      <w:r w:rsidR="00087ECA" w:rsidRPr="00087ECA">
        <w:rPr>
          <w:i/>
        </w:rPr>
        <w:t>partners work with young people across the stages of the framework.</w:t>
      </w:r>
      <w:r w:rsidR="00087ECA">
        <w:rPr>
          <w:i/>
        </w:rPr>
        <w:t xml:space="preserve"> </w:t>
      </w:r>
      <w:r>
        <w:rPr>
          <w:i/>
        </w:rPr>
        <w:t>We have also made our role clearer and updated the schools</w:t>
      </w:r>
      <w:r w:rsidR="00992567">
        <w:rPr>
          <w:i/>
        </w:rPr>
        <w:t xml:space="preserve"> section</w:t>
      </w:r>
      <w:r>
        <w:rPr>
          <w:i/>
        </w:rPr>
        <w:t>.</w:t>
      </w:r>
    </w:p>
    <w:p w:rsidR="00906945" w:rsidRDefault="00906945" w:rsidP="00906945">
      <w:pPr>
        <w:spacing w:after="0"/>
        <w:ind w:left="709"/>
      </w:pPr>
    </w:p>
    <w:p w:rsidR="00C575AC" w:rsidRDefault="00C575AC" w:rsidP="00314EB9">
      <w:pPr>
        <w:spacing w:after="0"/>
        <w:ind w:firstLine="360"/>
      </w:pPr>
      <w:r w:rsidRPr="00087ECA">
        <w:rPr>
          <w:b/>
        </w:rPr>
        <w:t xml:space="preserve">An increased focus </w:t>
      </w:r>
      <w:r w:rsidR="00992567">
        <w:rPr>
          <w:b/>
        </w:rPr>
        <w:t xml:space="preserve">on people </w:t>
      </w:r>
      <w:r>
        <w:rPr>
          <w:b/>
        </w:rPr>
        <w:t xml:space="preserve">with disabilities </w:t>
      </w:r>
    </w:p>
    <w:p w:rsidR="00314EB9" w:rsidRDefault="00314EB9" w:rsidP="00314EB9">
      <w:pPr>
        <w:spacing w:after="0"/>
        <w:ind w:left="709" w:firstLine="11"/>
        <w:rPr>
          <w:i/>
        </w:rPr>
      </w:pPr>
    </w:p>
    <w:p w:rsidR="00C575AC" w:rsidRPr="00C575AC" w:rsidRDefault="00C575AC" w:rsidP="00314EB9">
      <w:pPr>
        <w:spacing w:after="0"/>
        <w:ind w:left="426"/>
        <w:rPr>
          <w:i/>
        </w:rPr>
      </w:pPr>
      <w:r w:rsidRPr="00C575AC">
        <w:rPr>
          <w:i/>
        </w:rPr>
        <w:t>The second principle in the strategy focuses on Equality, Inclusion &amp; Engagement of Young People</w:t>
      </w:r>
      <w:r w:rsidR="003B6D0B">
        <w:rPr>
          <w:i/>
        </w:rPr>
        <w:t>. W</w:t>
      </w:r>
      <w:r w:rsidRPr="00C575AC">
        <w:rPr>
          <w:i/>
        </w:rPr>
        <w:t>e have added a further action to strengthen our work to support people with disabilities</w:t>
      </w:r>
      <w:r w:rsidR="00992567">
        <w:rPr>
          <w:i/>
        </w:rPr>
        <w:t xml:space="preserve"> and added a further table in the action plan that focusses on how we will meet the need of young people.</w:t>
      </w:r>
    </w:p>
    <w:p w:rsidR="00C575AC" w:rsidRPr="004D43D1" w:rsidRDefault="00C575AC" w:rsidP="00C575AC">
      <w:pPr>
        <w:spacing w:after="0"/>
        <w:ind w:left="709"/>
      </w:pPr>
    </w:p>
    <w:p w:rsidR="00906945" w:rsidRDefault="00906945" w:rsidP="00314EB9">
      <w:pPr>
        <w:spacing w:after="0"/>
        <w:ind w:firstLine="426"/>
        <w:rPr>
          <w:b/>
        </w:rPr>
      </w:pPr>
      <w:r w:rsidRPr="00087ECA">
        <w:rPr>
          <w:b/>
        </w:rPr>
        <w:t xml:space="preserve">An </w:t>
      </w:r>
      <w:r w:rsidR="00087ECA" w:rsidRPr="00087ECA">
        <w:rPr>
          <w:b/>
        </w:rPr>
        <w:t>increased</w:t>
      </w:r>
      <w:r w:rsidRPr="00087ECA">
        <w:rPr>
          <w:b/>
        </w:rPr>
        <w:t xml:space="preserve"> focus on </w:t>
      </w:r>
      <w:r w:rsidR="00087ECA" w:rsidRPr="00087ECA">
        <w:rPr>
          <w:b/>
        </w:rPr>
        <w:t>m</w:t>
      </w:r>
      <w:r w:rsidRPr="00087ECA">
        <w:rPr>
          <w:b/>
        </w:rPr>
        <w:t xml:space="preserve">ental health </w:t>
      </w:r>
    </w:p>
    <w:p w:rsidR="00314EB9" w:rsidRDefault="00314EB9" w:rsidP="00314EB9">
      <w:pPr>
        <w:spacing w:after="0"/>
        <w:ind w:firstLine="426"/>
        <w:rPr>
          <w:b/>
        </w:rPr>
      </w:pPr>
    </w:p>
    <w:p w:rsidR="00C575AC" w:rsidRPr="00C575AC" w:rsidRDefault="00C575AC" w:rsidP="00314EB9">
      <w:pPr>
        <w:spacing w:after="0"/>
        <w:ind w:left="426"/>
        <w:rPr>
          <w:i/>
        </w:rPr>
      </w:pPr>
      <w:r w:rsidRPr="00C575AC">
        <w:rPr>
          <w:i/>
        </w:rPr>
        <w:t xml:space="preserve">While the strategy </w:t>
      </w:r>
      <w:r w:rsidR="003B6D0B">
        <w:rPr>
          <w:i/>
        </w:rPr>
        <w:t>does increase</w:t>
      </w:r>
      <w:r w:rsidRPr="00C575AC">
        <w:rPr>
          <w:i/>
        </w:rPr>
        <w:t xml:space="preserve"> our focus on mental health, we have added a</w:t>
      </w:r>
      <w:r w:rsidR="003B6D0B">
        <w:rPr>
          <w:i/>
        </w:rPr>
        <w:t xml:space="preserve"> commitment </w:t>
      </w:r>
      <w:r w:rsidRPr="00C575AC">
        <w:rPr>
          <w:i/>
        </w:rPr>
        <w:t>to explore what more we can do and to see what quality assurance we can implement</w:t>
      </w:r>
      <w:r w:rsidR="003B6D0B">
        <w:rPr>
          <w:i/>
        </w:rPr>
        <w:t xml:space="preserve"> and an </w:t>
      </w:r>
      <w:r>
        <w:rPr>
          <w:i/>
        </w:rPr>
        <w:t>enhanced</w:t>
      </w:r>
      <w:r w:rsidRPr="00C575AC">
        <w:rPr>
          <w:i/>
        </w:rPr>
        <w:t xml:space="preserve"> commitment around staff training. </w:t>
      </w:r>
    </w:p>
    <w:p w:rsidR="00906945" w:rsidRDefault="00906945" w:rsidP="00906945">
      <w:pPr>
        <w:spacing w:after="0"/>
        <w:ind w:left="709"/>
      </w:pPr>
    </w:p>
    <w:p w:rsidR="00906945" w:rsidRPr="00642390" w:rsidRDefault="00906945" w:rsidP="00642390">
      <w:pPr>
        <w:autoSpaceDE w:val="0"/>
        <w:autoSpaceDN w:val="0"/>
        <w:adjustRightInd w:val="0"/>
        <w:spacing w:after="0"/>
        <w:ind w:left="709"/>
        <w:jc w:val="both"/>
        <w:rPr>
          <w:rFonts w:cs="TTB344o00"/>
        </w:rPr>
      </w:pPr>
    </w:p>
    <w:p w:rsidR="00556B10" w:rsidRPr="004648DE" w:rsidRDefault="00556B10" w:rsidP="00556B10">
      <w:pPr>
        <w:jc w:val="both"/>
        <w:rPr>
          <w:b/>
        </w:rPr>
      </w:pPr>
      <w:r w:rsidRPr="004648DE">
        <w:rPr>
          <w:b/>
        </w:rPr>
        <w:t>Level of Risk</w:t>
      </w:r>
    </w:p>
    <w:p w:rsidR="00556B10" w:rsidRPr="004648DE" w:rsidRDefault="00556B10" w:rsidP="00556B10">
      <w:pPr>
        <w:jc w:val="both"/>
        <w:rPr>
          <w:rFonts w:cs="Arial"/>
        </w:rPr>
      </w:pPr>
    </w:p>
    <w:p w:rsidR="00556B10" w:rsidRPr="004648DE" w:rsidRDefault="00556B10" w:rsidP="00556B10">
      <w:pPr>
        <w:jc w:val="both"/>
        <w:rPr>
          <w:rFonts w:cs="Arial"/>
        </w:rPr>
      </w:pPr>
      <w:r>
        <w:rPr>
          <w:rFonts w:cs="Arial"/>
        </w:rPr>
        <w:t>7</w:t>
      </w:r>
      <w:r w:rsidRPr="004648DE">
        <w:rPr>
          <w:rFonts w:cs="Arial"/>
        </w:rPr>
        <w:t>.</w:t>
      </w:r>
      <w:r w:rsidR="004D43D1">
        <w:rPr>
          <w:rFonts w:cs="Arial"/>
        </w:rPr>
        <w:t xml:space="preserve">    </w:t>
      </w:r>
      <w:r w:rsidRPr="004648DE">
        <w:rPr>
          <w:rFonts w:cs="Arial"/>
        </w:rPr>
        <w:t xml:space="preserve">The risk register </w:t>
      </w:r>
      <w:r w:rsidR="00F11DBB">
        <w:rPr>
          <w:rFonts w:cs="Arial"/>
        </w:rPr>
        <w:t>is shown in appendix two</w:t>
      </w:r>
      <w:r w:rsidRPr="004648DE">
        <w:rPr>
          <w:rFonts w:cs="Arial"/>
        </w:rPr>
        <w:t>.</w:t>
      </w:r>
    </w:p>
    <w:p w:rsidR="00556B10" w:rsidRPr="004648DE" w:rsidRDefault="00556B10" w:rsidP="00556B10">
      <w:pPr>
        <w:ind w:left="360"/>
        <w:jc w:val="both"/>
        <w:rPr>
          <w:rFonts w:cs="Arial"/>
        </w:rPr>
      </w:pPr>
    </w:p>
    <w:p w:rsidR="00556B10" w:rsidRPr="004648DE" w:rsidRDefault="00556B10" w:rsidP="00556B10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Environmental </w:t>
      </w:r>
    </w:p>
    <w:p w:rsidR="00556B10" w:rsidRPr="004648DE" w:rsidRDefault="00556B10" w:rsidP="00556B10">
      <w:pPr>
        <w:ind w:left="360"/>
        <w:jc w:val="both"/>
        <w:rPr>
          <w:rFonts w:cs="Arial"/>
        </w:rPr>
      </w:pPr>
    </w:p>
    <w:p w:rsidR="004D43D1" w:rsidRPr="004D43D1" w:rsidRDefault="00556B10" w:rsidP="004D43D1">
      <w:pPr>
        <w:ind w:left="426" w:hanging="426"/>
        <w:jc w:val="both"/>
        <w:rPr>
          <w:rFonts w:cs="Arial"/>
        </w:rPr>
      </w:pPr>
      <w:r>
        <w:t>8</w:t>
      </w:r>
      <w:r w:rsidRPr="004648DE">
        <w:t>.</w:t>
      </w:r>
      <w:r w:rsidRPr="004648DE">
        <w:tab/>
      </w:r>
      <w:r w:rsidR="004D43D1" w:rsidRPr="004D43D1">
        <w:rPr>
          <w:rFonts w:cs="Arial"/>
        </w:rPr>
        <w:t xml:space="preserve">There are minimal environmental impacts. </w:t>
      </w:r>
    </w:p>
    <w:p w:rsidR="004E3B5F" w:rsidRDefault="004E3B5F" w:rsidP="00556B10">
      <w:pPr>
        <w:jc w:val="both"/>
        <w:rPr>
          <w:b/>
        </w:rPr>
      </w:pPr>
    </w:p>
    <w:p w:rsidR="00556B10" w:rsidRPr="004648DE" w:rsidRDefault="00556B10" w:rsidP="00556B10">
      <w:pPr>
        <w:jc w:val="both"/>
        <w:rPr>
          <w:b/>
        </w:rPr>
      </w:pPr>
      <w:r w:rsidRPr="004648DE">
        <w:rPr>
          <w:b/>
        </w:rPr>
        <w:t>Equalities Impact</w:t>
      </w:r>
    </w:p>
    <w:p w:rsidR="00556B10" w:rsidRPr="004648DE" w:rsidRDefault="00556B10" w:rsidP="00556B10">
      <w:pPr>
        <w:ind w:left="360"/>
        <w:jc w:val="both"/>
        <w:rPr>
          <w:rFonts w:cs="Arial"/>
        </w:rPr>
      </w:pPr>
    </w:p>
    <w:p w:rsidR="00556B10" w:rsidRPr="004D43D1" w:rsidRDefault="004D43D1" w:rsidP="003B6D0B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  </w:t>
      </w:r>
      <w:r w:rsidR="0037403A" w:rsidRPr="004D43D1">
        <w:rPr>
          <w:rFonts w:cs="Arial"/>
        </w:rPr>
        <w:t>The</w:t>
      </w:r>
      <w:r w:rsidR="00556B10" w:rsidRPr="004D43D1">
        <w:rPr>
          <w:rFonts w:cs="Arial"/>
        </w:rPr>
        <w:t xml:space="preserve"> Equali</w:t>
      </w:r>
      <w:r w:rsidR="0037403A" w:rsidRPr="004D43D1">
        <w:rPr>
          <w:rFonts w:cs="Arial"/>
        </w:rPr>
        <w:t xml:space="preserve">ties Impact Assessment is shown </w:t>
      </w:r>
      <w:r w:rsidR="00556B10" w:rsidRPr="004D43D1">
        <w:rPr>
          <w:rFonts w:cs="Arial"/>
        </w:rPr>
        <w:t>in appendix t</w:t>
      </w:r>
      <w:r w:rsidR="00F11DBB" w:rsidRPr="004D43D1">
        <w:rPr>
          <w:rFonts w:cs="Arial"/>
        </w:rPr>
        <w:t>hree</w:t>
      </w:r>
      <w:r w:rsidR="00556B10" w:rsidRPr="004D43D1">
        <w:rPr>
          <w:rFonts w:cs="Arial"/>
        </w:rPr>
        <w:t>.</w:t>
      </w:r>
    </w:p>
    <w:p w:rsidR="00556B10" w:rsidRPr="004648DE" w:rsidRDefault="00556B10" w:rsidP="00556B10">
      <w:pPr>
        <w:ind w:left="360"/>
        <w:jc w:val="both"/>
        <w:rPr>
          <w:rFonts w:cs="Arial"/>
        </w:rPr>
      </w:pPr>
    </w:p>
    <w:p w:rsidR="00556B10" w:rsidRPr="004648DE" w:rsidRDefault="00556B10" w:rsidP="00556B10">
      <w:pPr>
        <w:jc w:val="both"/>
        <w:rPr>
          <w:rFonts w:cs="Arial"/>
          <w:b/>
        </w:rPr>
      </w:pPr>
      <w:r w:rsidRPr="004648DE">
        <w:rPr>
          <w:rFonts w:cs="Arial"/>
          <w:b/>
        </w:rPr>
        <w:t>Financial Implications</w:t>
      </w:r>
    </w:p>
    <w:p w:rsidR="004D43D1" w:rsidRDefault="004D43D1" w:rsidP="004D43D1">
      <w:pPr>
        <w:pStyle w:val="ListParagraph"/>
        <w:numPr>
          <w:ilvl w:val="0"/>
          <w:numId w:val="0"/>
        </w:numPr>
        <w:ind w:left="360"/>
        <w:jc w:val="both"/>
        <w:rPr>
          <w:rFonts w:cs="Arial"/>
        </w:rPr>
      </w:pPr>
    </w:p>
    <w:p w:rsidR="00556B10" w:rsidRPr="004D43D1" w:rsidRDefault="004D43D1" w:rsidP="003B6D0B">
      <w:pPr>
        <w:pStyle w:val="ListParagraph"/>
        <w:numPr>
          <w:ilvl w:val="0"/>
          <w:numId w:val="9"/>
        </w:numPr>
        <w:tabs>
          <w:tab w:val="left" w:pos="0"/>
        </w:tabs>
        <w:ind w:left="567" w:hanging="709"/>
        <w:jc w:val="both"/>
        <w:rPr>
          <w:rFonts w:cs="Arial"/>
        </w:rPr>
      </w:pPr>
      <w:r>
        <w:rPr>
          <w:rFonts w:cs="Arial"/>
        </w:rPr>
        <w:t xml:space="preserve">  </w:t>
      </w:r>
      <w:r w:rsidR="00556B10" w:rsidRPr="004D43D1">
        <w:rPr>
          <w:rFonts w:cs="Arial"/>
        </w:rPr>
        <w:t xml:space="preserve">The action plan shows the financial position for the </w:t>
      </w:r>
      <w:r w:rsidRPr="004D43D1">
        <w:rPr>
          <w:rFonts w:cs="Arial"/>
        </w:rPr>
        <w:t>strategy. Th</w:t>
      </w:r>
      <w:r w:rsidR="00556B10" w:rsidRPr="004D43D1">
        <w:rPr>
          <w:rFonts w:cs="Arial"/>
        </w:rPr>
        <w:t>e strategy will help support ap</w:t>
      </w:r>
      <w:r w:rsidRPr="004D43D1">
        <w:rPr>
          <w:rFonts w:cs="Arial"/>
        </w:rPr>
        <w:t>plications for external funding.</w:t>
      </w:r>
    </w:p>
    <w:p w:rsidR="004D43D1" w:rsidRDefault="004D43D1" w:rsidP="004D43D1">
      <w:pPr>
        <w:jc w:val="both"/>
        <w:rPr>
          <w:rFonts w:cs="Arial"/>
          <w:b/>
        </w:rPr>
      </w:pPr>
    </w:p>
    <w:p w:rsidR="00556B10" w:rsidRDefault="00556B10" w:rsidP="004D43D1">
      <w:pPr>
        <w:jc w:val="both"/>
        <w:rPr>
          <w:rFonts w:cs="Arial"/>
          <w:b/>
        </w:rPr>
      </w:pPr>
      <w:r w:rsidRPr="004648DE">
        <w:rPr>
          <w:rFonts w:cs="Arial"/>
          <w:b/>
        </w:rPr>
        <w:t>Legal Implications</w:t>
      </w:r>
    </w:p>
    <w:p w:rsidR="004D43D1" w:rsidRDefault="004D43D1" w:rsidP="004D43D1">
      <w:pPr>
        <w:jc w:val="both"/>
        <w:rPr>
          <w:rFonts w:cs="Arial"/>
          <w:b/>
        </w:rPr>
      </w:pPr>
    </w:p>
    <w:p w:rsidR="004D43D1" w:rsidRPr="004D43D1" w:rsidRDefault="004D43D1" w:rsidP="003B6D0B">
      <w:pPr>
        <w:pStyle w:val="ListParagraph"/>
        <w:numPr>
          <w:ilvl w:val="0"/>
          <w:numId w:val="9"/>
        </w:numPr>
        <w:ind w:hanging="1212"/>
        <w:jc w:val="both"/>
        <w:rPr>
          <w:rFonts w:cs="Arial"/>
          <w:b/>
        </w:rPr>
      </w:pPr>
      <w:r w:rsidRPr="004D43D1">
        <w:rPr>
          <w:rFonts w:cs="Arial"/>
        </w:rPr>
        <w:t>There are minimal legal implications.</w:t>
      </w:r>
    </w:p>
    <w:p w:rsidR="00556B10" w:rsidRPr="004648DE" w:rsidRDefault="00556B10" w:rsidP="00556B10">
      <w:pPr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7403A" w:rsidRDefault="0037403A" w:rsidP="00A46E98">
            <w:pPr>
              <w:rPr>
                <w:b/>
              </w:rPr>
            </w:pPr>
          </w:p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46E98">
            <w:r>
              <w:t>Ian Brooke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159C7">
            <w:r>
              <w:t xml:space="preserve">Head of Community Services 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159C7" w:rsidP="00737537">
            <w:r>
              <w:t xml:space="preserve">Community Services 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37537" w:rsidP="00A46E98">
            <w:r>
              <w:t>01865 252705</w:t>
            </w:r>
            <w:r w:rsidR="00A159C7" w:rsidRPr="001356F1">
              <w:t xml:space="preserve"> 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778" w:rsidRDefault="00B816EB" w:rsidP="00A46E98">
            <w:pPr>
              <w:rPr>
                <w:rStyle w:val="Hyperlink"/>
                <w:color w:val="000000"/>
              </w:rPr>
            </w:pPr>
            <w:hyperlink r:id="rId9" w:history="1">
              <w:r w:rsidR="00737537">
                <w:rPr>
                  <w:rStyle w:val="Hyperlink"/>
                </w:rPr>
                <w:t>ibrooke@oxofrd.gov.uk</w:t>
              </w:r>
            </w:hyperlink>
            <w:r w:rsidR="00737537">
              <w:rPr>
                <w:rStyle w:val="Hyperlink"/>
              </w:rPr>
              <w:t xml:space="preserve"> </w:t>
            </w:r>
          </w:p>
          <w:p w:rsidR="00F82778" w:rsidRPr="001356F1" w:rsidRDefault="00F82778" w:rsidP="00A46E98">
            <w:pPr>
              <w:rPr>
                <w:rStyle w:val="Hyperlink"/>
                <w:color w:val="000000"/>
              </w:rPr>
            </w:pP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F8277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="004E3B5F" w:rsidRPr="004E3B5F">
              <w:rPr>
                <w:rStyle w:val="Firstpagetablebold"/>
                <w:b w:val="0"/>
              </w:rPr>
              <w:t>none</w:t>
            </w:r>
          </w:p>
        </w:tc>
      </w:tr>
      <w:tr w:rsidR="00DF093E" w:rsidRPr="001356F1" w:rsidTr="00F8277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93067A" w:rsidP="00F41AC1"/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37537" w:rsidRPr="00F82778" w:rsidRDefault="00737537" w:rsidP="00F8277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CE4C87" w:rsidRDefault="00CE4C87" w:rsidP="00314EB9"/>
    <w:sectPr w:rsidR="00CE4C87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E1" w:rsidRDefault="000C0EE1" w:rsidP="004A6D2F">
      <w:r>
        <w:separator/>
      </w:r>
    </w:p>
  </w:endnote>
  <w:endnote w:type="continuationSeparator" w:id="0">
    <w:p w:rsidR="000C0EE1" w:rsidRDefault="000C0EE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B34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4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E1" w:rsidRDefault="000C0EE1" w:rsidP="004A6D2F">
      <w:r>
        <w:separator/>
      </w:r>
    </w:p>
  </w:footnote>
  <w:footnote w:type="continuationSeparator" w:id="0">
    <w:p w:rsidR="000C0EE1" w:rsidRDefault="000C0EE1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82778" w:rsidP="00D5547E">
    <w:pPr>
      <w:pStyle w:val="Header"/>
      <w:jc w:val="right"/>
    </w:pPr>
    <w:r>
      <w:rPr>
        <w:noProof/>
      </w:rPr>
      <w:drawing>
        <wp:inline distT="0" distB="0" distL="0" distR="0" wp14:anchorId="14498500" wp14:editId="63801D5A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061"/>
    <w:multiLevelType w:val="hybridMultilevel"/>
    <w:tmpl w:val="A622FA64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6B0"/>
    <w:multiLevelType w:val="hybridMultilevel"/>
    <w:tmpl w:val="49C0C5A0"/>
    <w:lvl w:ilvl="0" w:tplc="413E644C">
      <w:start w:val="10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65C6"/>
    <w:multiLevelType w:val="multilevel"/>
    <w:tmpl w:val="E67CE66C"/>
    <w:numStyleLink w:val="StyleNumberedLeft0cmHanging075cm"/>
  </w:abstractNum>
  <w:abstractNum w:abstractNumId="8">
    <w:nsid w:val="7BFB2E09"/>
    <w:multiLevelType w:val="hybridMultilevel"/>
    <w:tmpl w:val="F9A03562"/>
    <w:lvl w:ilvl="0" w:tplc="4D30B19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7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540E"/>
    <w:rsid w:val="00087ECA"/>
    <w:rsid w:val="00095F18"/>
    <w:rsid w:val="000C089F"/>
    <w:rsid w:val="000C0EE1"/>
    <w:rsid w:val="000C3928"/>
    <w:rsid w:val="000C5E8E"/>
    <w:rsid w:val="000F4751"/>
    <w:rsid w:val="00102FFF"/>
    <w:rsid w:val="0010524C"/>
    <w:rsid w:val="00111FB1"/>
    <w:rsid w:val="00113418"/>
    <w:rsid w:val="001356F1"/>
    <w:rsid w:val="00136994"/>
    <w:rsid w:val="0014128E"/>
    <w:rsid w:val="00151888"/>
    <w:rsid w:val="00170A2D"/>
    <w:rsid w:val="001767A0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70EC7"/>
    <w:rsid w:val="00275C97"/>
    <w:rsid w:val="00284F85"/>
    <w:rsid w:val="00286E44"/>
    <w:rsid w:val="00290915"/>
    <w:rsid w:val="002A22E2"/>
    <w:rsid w:val="002C64F7"/>
    <w:rsid w:val="002F41F2"/>
    <w:rsid w:val="00301BF3"/>
    <w:rsid w:val="0030208D"/>
    <w:rsid w:val="00314EB9"/>
    <w:rsid w:val="00323418"/>
    <w:rsid w:val="003357BF"/>
    <w:rsid w:val="00364FAD"/>
    <w:rsid w:val="0036738F"/>
    <w:rsid w:val="0036759C"/>
    <w:rsid w:val="00367AE5"/>
    <w:rsid w:val="00367D71"/>
    <w:rsid w:val="0037403A"/>
    <w:rsid w:val="0038150A"/>
    <w:rsid w:val="003B6D0B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9A4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43D1"/>
    <w:rsid w:val="004D6E26"/>
    <w:rsid w:val="004D77D3"/>
    <w:rsid w:val="004E2959"/>
    <w:rsid w:val="004E3B5F"/>
    <w:rsid w:val="004F20EF"/>
    <w:rsid w:val="0050321C"/>
    <w:rsid w:val="0054712D"/>
    <w:rsid w:val="00547EF6"/>
    <w:rsid w:val="00556B10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442A"/>
    <w:rsid w:val="005E022E"/>
    <w:rsid w:val="005E5215"/>
    <w:rsid w:val="005F7F7E"/>
    <w:rsid w:val="0061052E"/>
    <w:rsid w:val="00614693"/>
    <w:rsid w:val="00623C2F"/>
    <w:rsid w:val="00633578"/>
    <w:rsid w:val="00637068"/>
    <w:rsid w:val="006413C1"/>
    <w:rsid w:val="00642390"/>
    <w:rsid w:val="00650811"/>
    <w:rsid w:val="00661D3E"/>
    <w:rsid w:val="00683B03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537"/>
    <w:rsid w:val="00737B93"/>
    <w:rsid w:val="00745BF0"/>
    <w:rsid w:val="007615FE"/>
    <w:rsid w:val="00765D59"/>
    <w:rsid w:val="0076655C"/>
    <w:rsid w:val="007742DC"/>
    <w:rsid w:val="00791437"/>
    <w:rsid w:val="007B0C2C"/>
    <w:rsid w:val="007B278E"/>
    <w:rsid w:val="007B67B3"/>
    <w:rsid w:val="007C5C23"/>
    <w:rsid w:val="007E2A26"/>
    <w:rsid w:val="007E49C7"/>
    <w:rsid w:val="007F2348"/>
    <w:rsid w:val="00803F07"/>
    <w:rsid w:val="0080749A"/>
    <w:rsid w:val="00821FB8"/>
    <w:rsid w:val="00822ACD"/>
    <w:rsid w:val="00841D54"/>
    <w:rsid w:val="00855C66"/>
    <w:rsid w:val="00860BEE"/>
    <w:rsid w:val="00871EE4"/>
    <w:rsid w:val="008B293F"/>
    <w:rsid w:val="008B7371"/>
    <w:rsid w:val="008D3DDB"/>
    <w:rsid w:val="008F573F"/>
    <w:rsid w:val="009034EC"/>
    <w:rsid w:val="00906945"/>
    <w:rsid w:val="00907A83"/>
    <w:rsid w:val="0093067A"/>
    <w:rsid w:val="00933ABA"/>
    <w:rsid w:val="00941C60"/>
    <w:rsid w:val="00966103"/>
    <w:rsid w:val="00966D42"/>
    <w:rsid w:val="00971689"/>
    <w:rsid w:val="00973E90"/>
    <w:rsid w:val="00975B07"/>
    <w:rsid w:val="00980B4A"/>
    <w:rsid w:val="00992567"/>
    <w:rsid w:val="009E3D0A"/>
    <w:rsid w:val="009E51FC"/>
    <w:rsid w:val="009F1D28"/>
    <w:rsid w:val="009F7618"/>
    <w:rsid w:val="00A04D23"/>
    <w:rsid w:val="00A06766"/>
    <w:rsid w:val="00A13765"/>
    <w:rsid w:val="00A159C7"/>
    <w:rsid w:val="00A21B12"/>
    <w:rsid w:val="00A23F80"/>
    <w:rsid w:val="00A46E98"/>
    <w:rsid w:val="00A52DE3"/>
    <w:rsid w:val="00A6352B"/>
    <w:rsid w:val="00A701B5"/>
    <w:rsid w:val="00A714BB"/>
    <w:rsid w:val="00A92D8F"/>
    <w:rsid w:val="00AB2988"/>
    <w:rsid w:val="00AB7999"/>
    <w:rsid w:val="00AD3292"/>
    <w:rsid w:val="00AE6BAA"/>
    <w:rsid w:val="00AE7AF0"/>
    <w:rsid w:val="00B500CA"/>
    <w:rsid w:val="00B816EB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25C8"/>
    <w:rsid w:val="00C2692F"/>
    <w:rsid w:val="00C3207C"/>
    <w:rsid w:val="00C400E1"/>
    <w:rsid w:val="00C40838"/>
    <w:rsid w:val="00C41187"/>
    <w:rsid w:val="00C575AC"/>
    <w:rsid w:val="00C63C31"/>
    <w:rsid w:val="00C757A0"/>
    <w:rsid w:val="00C760DE"/>
    <w:rsid w:val="00C82630"/>
    <w:rsid w:val="00C85B4E"/>
    <w:rsid w:val="00C907F7"/>
    <w:rsid w:val="00C92F63"/>
    <w:rsid w:val="00CA2103"/>
    <w:rsid w:val="00CB6B99"/>
    <w:rsid w:val="00CD7905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0AF0"/>
    <w:rsid w:val="00E61D73"/>
    <w:rsid w:val="00E62EE0"/>
    <w:rsid w:val="00E73684"/>
    <w:rsid w:val="00E818D6"/>
    <w:rsid w:val="00E87F7A"/>
    <w:rsid w:val="00E96BD7"/>
    <w:rsid w:val="00EA0DB1"/>
    <w:rsid w:val="00EA0EE9"/>
    <w:rsid w:val="00ED52CA"/>
    <w:rsid w:val="00ED5860"/>
    <w:rsid w:val="00ED771D"/>
    <w:rsid w:val="00EE35C9"/>
    <w:rsid w:val="00EE5ECA"/>
    <w:rsid w:val="00F05ECA"/>
    <w:rsid w:val="00F11DBB"/>
    <w:rsid w:val="00F3566E"/>
    <w:rsid w:val="00F375FB"/>
    <w:rsid w:val="00F41AC1"/>
    <w:rsid w:val="00F4367A"/>
    <w:rsid w:val="00F445B1"/>
    <w:rsid w:val="00F45CD4"/>
    <w:rsid w:val="00F54AFE"/>
    <w:rsid w:val="00F66DCA"/>
    <w:rsid w:val="00F702CE"/>
    <w:rsid w:val="00F74F53"/>
    <w:rsid w:val="00F7606D"/>
    <w:rsid w:val="00F81670"/>
    <w:rsid w:val="00F82024"/>
    <w:rsid w:val="00F82778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C92F63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159C7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C7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A159C7"/>
    <w:rPr>
      <w:vertAlign w:val="superscript"/>
    </w:rPr>
  </w:style>
  <w:style w:type="paragraph" w:customStyle="1" w:styleId="Default">
    <w:name w:val="Default"/>
    <w:rsid w:val="00A159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A159C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C92F63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420D-92CB-4EB7-AD7D-3A82CE6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B3C61FEF</Template>
  <TotalTime>334</TotalTime>
  <Pages>4</Pages>
  <Words>951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lucy.cherry</dc:creator>
  <cp:lastModifiedBy>JMitchell</cp:lastModifiedBy>
  <cp:revision>19</cp:revision>
  <cp:lastPrinted>2015-07-03T13:50:00Z</cp:lastPrinted>
  <dcterms:created xsi:type="dcterms:W3CDTF">2016-04-14T13:37:00Z</dcterms:created>
  <dcterms:modified xsi:type="dcterms:W3CDTF">2018-07-03T11:00:00Z</dcterms:modified>
</cp:coreProperties>
</file>